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center"/>
      </w:pPr>
      <w:r>
        <w:rPr>
          <w:rFonts w:ascii="Arial" w:hAnsi="Arial" w:eastAsia="Arial"/>
          <w:b/>
          <w:i w:val="0"/>
          <w:sz w:val="28"/>
        </w:rPr>
        <w:t>Chauffeur et Agent administratif opérationnel (G3)</w:t>
      </w:r>
    </w:p>
    <w:p>
      <w:pPr>
        <w:spacing w:after="240"/>
      </w:pPr>
      <w:r>
        <w:rPr>
          <w:rFonts w:ascii="Arial" w:hAnsi="Arial" w:eastAsia="Arial"/>
          <w:b/>
          <w:i w:val="0"/>
          <w:sz w:val="24"/>
        </w:rPr>
        <w:t>Chauffeur et Agent administratif opérationnel (G3)</w:t>
      </w:r>
    </w:p>
    <w:tbl>
      <w:tblPr>
        <w:tblStyle w:val="TableGrid"/>
        <w:tblW w:type="auto" w:w="0"/>
        <w:jc w:val="left"/>
        <w:tblLook w:firstColumn="1" w:firstRow="1" w:lastColumn="0" w:lastRow="0" w:noHBand="0" w:noVBand="1" w:val="04A0"/>
      </w:tblPr>
      <w:tblGrid>
        <w:gridCol w:w="4703"/>
        <w:gridCol w:w="4703"/>
      </w:tblGrid>
      <w:tr>
        <w:tc>
          <w:tcPr>
            <w:tcW w:type="dxa" w:w="4703"/>
            <w:vAlign w:val="center"/>
          </w:tcPr>
          <w:p>
            <w:r>
              <w:rPr>
                <w:rFonts w:ascii="Arial" w:hAnsi="Arial" w:eastAsia="Arial"/>
                <w:sz w:val="21"/>
              </w:rPr>
              <w:t>Intitulé du poste :</w:t>
            </w:r>
          </w:p>
        </w:tc>
        <w:tc>
          <w:tcPr>
            <w:tcW w:type="dxa" w:w="4703"/>
            <w:vAlign w:val="center"/>
          </w:tcPr>
          <w:p>
            <w:r>
              <w:rPr>
                <w:rFonts w:ascii="Arial" w:hAnsi="Arial" w:eastAsia="Arial"/>
                <w:sz w:val="21"/>
              </w:rPr>
              <w:t>Chauffeur et Agent administratif opérationnel</w:t>
            </w:r>
          </w:p>
        </w:tc>
      </w:tr>
      <w:tr>
        <w:tc>
          <w:tcPr>
            <w:tcW w:type="dxa" w:w="4703"/>
            <w:vAlign w:val="center"/>
          </w:tcPr>
          <w:p>
            <w:r>
              <w:rPr>
                <w:rFonts w:ascii="Arial" w:hAnsi="Arial" w:eastAsia="Arial"/>
                <w:sz w:val="21"/>
              </w:rPr>
              <w:t>Niveau :</w:t>
            </w:r>
          </w:p>
        </w:tc>
        <w:tc>
          <w:tcPr>
            <w:tcW w:type="dxa" w:w="4703"/>
            <w:vAlign w:val="center"/>
          </w:tcPr>
          <w:p>
            <w:r>
              <w:rPr>
                <w:rFonts w:ascii="Arial" w:hAnsi="Arial" w:eastAsia="Arial"/>
                <w:sz w:val="21"/>
              </w:rPr>
              <w:t>G3</w:t>
            </w:r>
          </w:p>
        </w:tc>
      </w:tr>
      <w:tr>
        <w:tc>
          <w:tcPr>
            <w:tcW w:type="dxa" w:w="4703"/>
            <w:vAlign w:val="center"/>
          </w:tcPr>
          <w:p>
            <w:r>
              <w:rPr>
                <w:rFonts w:ascii="Arial" w:hAnsi="Arial" w:eastAsia="Arial"/>
                <w:sz w:val="21"/>
              </w:rPr>
              <w:t>Numéro du poste :</w:t>
            </w:r>
          </w:p>
        </w:tc>
        <w:tc>
          <w:tcPr>
            <w:tcW w:type="dxa" w:w="4703"/>
            <w:vAlign w:val="center"/>
          </w:tcPr>
          <w:p>
            <w:r>
              <w:rPr>
                <w:rFonts w:ascii="Arial" w:hAnsi="Arial" w:eastAsia="Arial"/>
                <w:sz w:val="21"/>
              </w:rPr>
              <w:t>00011898</w:t>
            </w:r>
          </w:p>
        </w:tc>
      </w:tr>
      <w:tr>
        <w:tc>
          <w:tcPr>
            <w:tcW w:type="dxa" w:w="4703"/>
            <w:vAlign w:val="center"/>
          </w:tcPr>
          <w:p>
            <w:r>
              <w:rPr>
                <w:rFonts w:ascii="Arial" w:hAnsi="Arial" w:eastAsia="Arial"/>
                <w:sz w:val="21"/>
              </w:rPr>
              <w:t>Lieu d’affectation :</w:t>
            </w:r>
          </w:p>
        </w:tc>
        <w:tc>
          <w:tcPr>
            <w:tcW w:type="dxa" w:w="4703"/>
            <w:vAlign w:val="center"/>
          </w:tcPr>
          <w:p>
            <w:r>
              <w:rPr>
                <w:rFonts w:ascii="Arial" w:hAnsi="Arial" w:eastAsia="Arial"/>
                <w:sz w:val="21"/>
              </w:rPr>
              <w:t>Djibouti, Djibouti</w:t>
            </w:r>
          </w:p>
        </w:tc>
      </w:tr>
      <w:tr>
        <w:tc>
          <w:tcPr>
            <w:tcW w:type="dxa" w:w="4703"/>
            <w:vAlign w:val="center"/>
          </w:tcPr>
          <w:p>
            <w:r>
              <w:rPr>
                <w:rFonts w:ascii="Arial" w:hAnsi="Arial" w:eastAsia="Arial"/>
                <w:sz w:val="21"/>
              </w:rPr>
              <w:t>Temps plein / Temps partiel :</w:t>
            </w:r>
          </w:p>
        </w:tc>
        <w:tc>
          <w:tcPr>
            <w:tcW w:type="dxa" w:w="4703"/>
            <w:vAlign w:val="center"/>
          </w:tcPr>
          <w:p>
            <w:r>
              <w:rPr>
                <w:rFonts w:ascii="Arial" w:hAnsi="Arial" w:eastAsia="Arial"/>
                <w:sz w:val="21"/>
              </w:rPr>
              <w:t>Temps plein</w:t>
            </w:r>
          </w:p>
        </w:tc>
      </w:tr>
      <w:tr>
        <w:tc>
          <w:tcPr>
            <w:tcW w:type="dxa" w:w="4703"/>
            <w:vAlign w:val="center"/>
          </w:tcPr>
          <w:p>
            <w:r>
              <w:rPr>
                <w:rFonts w:ascii="Arial" w:hAnsi="Arial" w:eastAsia="Arial"/>
                <w:sz w:val="21"/>
              </w:rPr>
              <w:t>Durée déterminée / Temporaire :</w:t>
            </w:r>
          </w:p>
        </w:tc>
        <w:tc>
          <w:tcPr>
            <w:tcW w:type="dxa" w:w="4703"/>
            <w:vAlign w:val="center"/>
          </w:tcPr>
          <w:p>
            <w:r>
              <w:rPr>
                <w:rFonts w:ascii="Arial" w:hAnsi="Arial" w:eastAsia="Arial"/>
                <w:sz w:val="21"/>
              </w:rPr>
              <w:t>Durée déterminée</w:t>
            </w:r>
          </w:p>
        </w:tc>
      </w:tr>
      <w:tr>
        <w:tc>
          <w:tcPr>
            <w:tcW w:type="dxa" w:w="4703"/>
            <w:vAlign w:val="center"/>
          </w:tcPr>
          <w:p>
            <w:r>
              <w:rPr>
                <w:rFonts w:ascii="Arial" w:hAnsi="Arial" w:eastAsia="Arial"/>
                <w:sz w:val="21"/>
              </w:rPr>
              <w:t>Rotatif / Non rotatif :</w:t>
            </w:r>
          </w:p>
        </w:tc>
        <w:tc>
          <w:tcPr>
            <w:tcW w:type="dxa" w:w="4703"/>
            <w:vAlign w:val="center"/>
          </w:tcPr>
          <w:p>
            <w:r>
              <w:rPr>
                <w:rFonts w:ascii="Arial" w:hAnsi="Arial" w:eastAsia="Arial"/>
                <w:sz w:val="21"/>
              </w:rPr>
              <w:t>Non rotatif</w:t>
            </w:r>
          </w:p>
        </w:tc>
      </w:tr>
      <w:tr>
        <w:tc>
          <w:tcPr>
            <w:tcW w:type="dxa" w:w="4703"/>
            <w:vAlign w:val="center"/>
          </w:tcPr>
          <w:p>
            <w:r>
              <w:rPr>
                <w:rFonts w:ascii="Arial" w:hAnsi="Arial" w:eastAsia="Arial"/>
                <w:sz w:val="21"/>
              </w:rPr>
              <w:t>Durée :</w:t>
            </w:r>
          </w:p>
        </w:tc>
        <w:tc>
          <w:tcPr>
            <w:tcW w:type="dxa" w:w="4703"/>
            <w:vAlign w:val="center"/>
          </w:tcPr>
          <w:p>
            <w:r>
              <w:rPr>
                <w:rFonts w:ascii="Arial" w:hAnsi="Arial" w:eastAsia="Arial"/>
                <w:sz w:val="21"/>
              </w:rPr>
              <w:t>Un an (renouvelable)</w:t>
            </w:r>
          </w:p>
        </w:tc>
      </w:tr>
    </w:tbl>
    <w:p/>
    <w:p>
      <w:pPr>
        <w:spacing w:after="80"/>
      </w:pPr>
      <w:r>
        <w:rPr>
          <w:rFonts w:ascii="Arial" w:hAnsi="Arial" w:eastAsia="Arial"/>
          <w:b/>
          <w:i w:val="0"/>
          <w:sz w:val="22"/>
        </w:rPr>
        <w:t>Le poste :</w:t>
      </w:r>
    </w:p>
    <w:p>
      <w:pPr>
        <w:spacing w:after="160"/>
      </w:pPr>
      <w:r>
        <w:rPr>
          <w:rFonts w:ascii="Arial" w:hAnsi="Arial" w:eastAsia="Arial"/>
          <w:b w:val="0"/>
          <w:i w:val="0"/>
          <w:sz w:val="21"/>
        </w:rPr>
        <w:t>Le poste est situé au Bureau pays de l’UNFPA à Djibouti. Le/La Chauffeur et Agent administratif opérationnel fournit des services de conduite fiables et sûrs au personnel de l’UNFPA ainsi qu’aux visiteurs officiels. En plus des responsabilités de conduite, le/la titulaire appuie l’Unité des opérations à travers des services de soutien logistique, administratif et financier de base afin d’assurer le bon fonctionnement du bureau dans le respect des règles et procédures. Ce poste relève de l’Associé(e) administratif(ve) du bureau.</w:t>
      </w:r>
    </w:p>
    <w:p>
      <w:pPr>
        <w:spacing w:after="80"/>
      </w:pPr>
      <w:r>
        <w:rPr>
          <w:rFonts w:ascii="Arial" w:hAnsi="Arial" w:eastAsia="Arial"/>
          <w:b/>
          <w:i w:val="0"/>
          <w:sz w:val="22"/>
        </w:rPr>
        <w:t>Comment vous pouvez faire la différence :</w:t>
      </w:r>
    </w:p>
    <w:p>
      <w:pPr>
        <w:spacing w:after="120"/>
      </w:pPr>
      <w:r>
        <w:rPr>
          <w:rFonts w:ascii="Arial" w:hAnsi="Arial" w:eastAsia="Arial"/>
          <w:b w:val="0"/>
          <w:i w:val="0"/>
          <w:sz w:val="21"/>
        </w:rPr>
        <w:t>L’UNFPA est l’organisme chef de file des Nations Unies chargé de promouvoir un monde où chaque grossesse est désirée, chaque accouchement est sans danger et le potentiel de chaque jeune est pleinement réalisé. Le Plan stratégique de l’UNFPA pour 2026-2029 expose la réponse de l’organisation à un environnement mondial complexe, en fournissant une feuille de route pour la résilience et le renouveau. Il vise à accélérer la mise en œuvre du Programme d’action de la Conférence internationale sur la population et le développement (CIPD) ainsi que l’atteinte des Objectifs de développement durable d’ici 2030. Ce mandat est poursuivi à travers quatre résultats interdépendants : mettre fin aux besoins non satisfaits en matière de planification familiale ; mettre fin aux décès maternels évitables ; mettre fin aux violences basées sur le genre et aux pratiques néfastes ; et s’adapter aux changements démographiques grâce à des politiques fondées sur les données probantes et les droits humains.</w:t>
      </w:r>
    </w:p>
    <w:p>
      <w:pPr>
        <w:spacing w:after="120"/>
      </w:pPr>
      <w:r>
        <w:rPr>
          <w:rFonts w:ascii="Arial" w:hAnsi="Arial" w:eastAsia="Arial"/>
          <w:b w:val="0"/>
          <w:i w:val="0"/>
          <w:sz w:val="21"/>
        </w:rPr>
        <w:t>Dans un monde où les droits humains fondamentaux sont menacés, nous avons besoin d’un personnel intègre et éthique, incarnant ces normes et standards internationaux et prêt à les défendre avec courage et conviction.</w:t>
      </w:r>
    </w:p>
    <w:p>
      <w:pPr>
        <w:spacing w:after="160"/>
      </w:pPr>
      <w:r>
        <w:rPr>
          <w:rFonts w:ascii="Arial" w:hAnsi="Arial" w:eastAsia="Arial"/>
          <w:b w:val="0"/>
          <w:i w:val="0"/>
          <w:sz w:val="21"/>
        </w:rPr>
        <w:t>L’UNFPA recherche des candidat(e)s capables de transformer, d’inspirer et de produire des résultats durables à fort impact, tout en assurant des relations extérieures efficaces, une communication de qualité, ainsi que le développement de partenariats et la mobilisation des ressources dans un paysage du développement et du financement en constante évolution. Nous avons besoin de collaborateur(trice)s transparents, exemplaires dans la gestion des ressources qui leur sont confiées et résolument engagés à atteindre l’excellence dans les résultats programmatiques.</w:t>
      </w:r>
    </w:p>
    <w:p>
      <w:pPr>
        <w:spacing w:after="80"/>
      </w:pPr>
      <w:r>
        <w:rPr>
          <w:rFonts w:ascii="Arial" w:hAnsi="Arial" w:eastAsia="Arial"/>
          <w:b/>
          <w:i w:val="0"/>
          <w:sz w:val="22"/>
        </w:rPr>
        <w:t>Objet du poste :</w:t>
      </w:r>
    </w:p>
    <w:p>
      <w:pPr>
        <w:spacing w:after="200"/>
      </w:pPr>
      <w:r>
        <w:rPr>
          <w:rFonts w:ascii="Arial" w:hAnsi="Arial" w:eastAsia="Arial"/>
          <w:b w:val="0"/>
          <w:i w:val="0"/>
          <w:sz w:val="21"/>
        </w:rPr>
        <w:t>Assurer des services de transport sûrs, fiables et orientés vers les usagers, et contribuer à l’efficacité opérationnelle à travers une assistance logistique, administrative et financière de base, conformément aux règles et procédures de l’UNFPA.</w:t>
      </w:r>
    </w:p>
    <w:p>
      <w:pPr>
        <w:spacing w:after="120"/>
      </w:pPr>
      <w:r>
        <w:rPr>
          <w:rFonts w:ascii="Arial" w:hAnsi="Arial" w:eastAsia="Arial"/>
          <w:b/>
          <w:i w:val="0"/>
          <w:sz w:val="22"/>
        </w:rPr>
        <w:t>Vous serez chargé(e) de :</w:t>
      </w:r>
    </w:p>
    <w:p>
      <w:pPr>
        <w:spacing w:after="40"/>
      </w:pPr>
      <w:r>
        <w:rPr>
          <w:rFonts w:ascii="Arial" w:hAnsi="Arial" w:eastAsia="Arial"/>
          <w:b/>
          <w:i w:val="0"/>
          <w:sz w:val="21"/>
        </w:rPr>
        <w:t>1. Services de conduite</w:t>
      </w:r>
    </w:p>
    <w:p>
      <w:pPr>
        <w:pStyle w:val="ListBullet"/>
        <w:spacing w:after="40"/>
      </w:pPr>
      <w:r>
        <w:rPr>
          <w:rFonts w:ascii="Arial" w:hAnsi="Arial" w:eastAsia="Arial"/>
          <w:sz w:val="21"/>
        </w:rPr>
        <w:t>Assurer le transport sécurisé du personnel autorisé et des visiteurs.</w:t>
      </w:r>
    </w:p>
    <w:p>
      <w:pPr>
        <w:pStyle w:val="ListBullet"/>
        <w:spacing w:after="40"/>
      </w:pPr>
      <w:r>
        <w:rPr>
          <w:rFonts w:ascii="Arial" w:hAnsi="Arial" w:eastAsia="Arial"/>
          <w:sz w:val="21"/>
        </w:rPr>
        <w:t>Acheminer et récupérer les documents officiels et le courrier.</w:t>
      </w:r>
    </w:p>
    <w:p>
      <w:pPr>
        <w:pStyle w:val="ListBullet"/>
        <w:spacing w:after="40"/>
      </w:pPr>
      <w:r>
        <w:rPr>
          <w:rFonts w:ascii="Arial" w:hAnsi="Arial" w:eastAsia="Arial"/>
          <w:sz w:val="21"/>
        </w:rPr>
        <w:t>Accueillir les visiteurs à l’aéroport et faciliter les formalités requises.</w:t>
      </w:r>
    </w:p>
    <w:p>
      <w:pPr>
        <w:pStyle w:val="ListBullet"/>
        <w:spacing w:after="40"/>
      </w:pPr>
      <w:r>
        <w:rPr>
          <w:rFonts w:ascii="Arial" w:hAnsi="Arial" w:eastAsia="Arial"/>
          <w:sz w:val="21"/>
        </w:rPr>
        <w:t>Veiller au respect des politiques de sécurité des Nations Unies et de la réglementation locale en matière de circulation.</w:t>
      </w:r>
    </w:p>
    <w:p>
      <w:pPr>
        <w:spacing w:after="40"/>
      </w:pPr>
      <w:r>
        <w:rPr>
          <w:rFonts w:ascii="Arial" w:hAnsi="Arial" w:eastAsia="Arial"/>
          <w:b/>
          <w:i w:val="0"/>
          <w:sz w:val="21"/>
        </w:rPr>
        <w:t>2. Gestion du véhicule</w:t>
      </w:r>
    </w:p>
    <w:p>
      <w:pPr>
        <w:pStyle w:val="ListBullet"/>
        <w:spacing w:after="40"/>
      </w:pPr>
      <w:r>
        <w:rPr>
          <w:rFonts w:ascii="Arial" w:hAnsi="Arial" w:eastAsia="Arial"/>
          <w:sz w:val="21"/>
        </w:rPr>
        <w:t>Assurer le nettoyage quotidien et l’entretien courant du ou des véhicule(s).</w:t>
      </w:r>
    </w:p>
    <w:p>
      <w:pPr>
        <w:pStyle w:val="ListBullet"/>
        <w:spacing w:after="40"/>
      </w:pPr>
      <w:r>
        <w:rPr>
          <w:rFonts w:ascii="Arial" w:hAnsi="Arial" w:eastAsia="Arial"/>
          <w:sz w:val="21"/>
        </w:rPr>
        <w:t>Effectuer les contrôles mécaniques quotidiens.</w:t>
      </w:r>
    </w:p>
    <w:p>
      <w:pPr>
        <w:pStyle w:val="ListBullet"/>
        <w:spacing w:after="40"/>
      </w:pPr>
      <w:r>
        <w:rPr>
          <w:rFonts w:ascii="Arial" w:hAnsi="Arial" w:eastAsia="Arial"/>
          <w:sz w:val="21"/>
        </w:rPr>
        <w:t>Tenir à jour avec exactitude les carnets de bord du véhicule et les relevés de carburant.</w:t>
      </w:r>
    </w:p>
    <w:p>
      <w:pPr>
        <w:pStyle w:val="ListBullet"/>
        <w:spacing w:after="40"/>
      </w:pPr>
      <w:r>
        <w:rPr>
          <w:rFonts w:ascii="Arial" w:hAnsi="Arial" w:eastAsia="Arial"/>
          <w:sz w:val="21"/>
        </w:rPr>
        <w:t>S’assurer que la documentation du véhicule est valide et à jour.</w:t>
      </w:r>
    </w:p>
    <w:p>
      <w:pPr>
        <w:pStyle w:val="ListBullet"/>
        <w:spacing w:after="40"/>
      </w:pPr>
      <w:r>
        <w:rPr>
          <w:rFonts w:ascii="Arial" w:hAnsi="Arial" w:eastAsia="Arial"/>
          <w:sz w:val="21"/>
        </w:rPr>
        <w:t>Coordonner l’entretien et les réparations selon les besoins.</w:t>
      </w:r>
    </w:p>
    <w:p>
      <w:pPr>
        <w:spacing w:after="40"/>
      </w:pPr>
      <w:r>
        <w:rPr>
          <w:rFonts w:ascii="Arial" w:hAnsi="Arial" w:eastAsia="Arial"/>
          <w:b/>
          <w:i w:val="0"/>
          <w:sz w:val="21"/>
        </w:rPr>
        <w:t>3. Appui opérationnel</w:t>
      </w:r>
    </w:p>
    <w:p>
      <w:pPr>
        <w:pStyle w:val="ListBullet"/>
        <w:spacing w:after="40"/>
      </w:pPr>
      <w:r>
        <w:rPr>
          <w:rFonts w:ascii="Arial" w:hAnsi="Arial" w:eastAsia="Arial"/>
          <w:sz w:val="21"/>
        </w:rPr>
        <w:t>Appuyer l’organisation logistique des réunions, ateliers et missions.</w:t>
      </w:r>
    </w:p>
    <w:p>
      <w:pPr>
        <w:pStyle w:val="ListBullet"/>
        <w:spacing w:after="40"/>
      </w:pPr>
      <w:r>
        <w:rPr>
          <w:rFonts w:ascii="Arial" w:hAnsi="Arial" w:eastAsia="Arial"/>
          <w:sz w:val="21"/>
        </w:rPr>
        <w:t>Appuyer les opérations logistiques (dédouanement et suivi de l’arrivée des produits médicaux).</w:t>
      </w:r>
    </w:p>
    <w:p>
      <w:pPr>
        <w:pStyle w:val="ListBullet"/>
        <w:spacing w:after="40"/>
      </w:pPr>
      <w:r>
        <w:rPr>
          <w:rFonts w:ascii="Arial" w:hAnsi="Arial" w:eastAsia="Arial"/>
          <w:sz w:val="21"/>
        </w:rPr>
        <w:t>Effectuer les démarches administratives auprès des banques, fournisseurs et autorités.</w:t>
      </w:r>
    </w:p>
    <w:p>
      <w:pPr>
        <w:pStyle w:val="ListBullet"/>
        <w:spacing w:after="40"/>
      </w:pPr>
      <w:r>
        <w:rPr>
          <w:rFonts w:ascii="Arial" w:hAnsi="Arial" w:eastAsia="Arial"/>
          <w:sz w:val="21"/>
        </w:rPr>
        <w:t>Contribuer à la gestion des stocks et à la vérification des immobilisations.</w:t>
      </w:r>
    </w:p>
    <w:p>
      <w:pPr>
        <w:pStyle w:val="ListBullet"/>
        <w:spacing w:after="40"/>
      </w:pPr>
      <w:r>
        <w:rPr>
          <w:rFonts w:ascii="Arial" w:hAnsi="Arial" w:eastAsia="Arial"/>
          <w:sz w:val="21"/>
        </w:rPr>
        <w:t>Appuyer le classement et l’archivage des documents.</w:t>
      </w:r>
    </w:p>
    <w:p>
      <w:pPr>
        <w:spacing w:after="40"/>
      </w:pPr>
      <w:r>
        <w:rPr>
          <w:rFonts w:ascii="Arial" w:hAnsi="Arial" w:eastAsia="Arial"/>
          <w:b/>
          <w:i w:val="0"/>
          <w:sz w:val="21"/>
        </w:rPr>
        <w:t>4. Appui financier de base</w:t>
      </w:r>
    </w:p>
    <w:p>
      <w:pPr>
        <w:pStyle w:val="ListBullet"/>
        <w:spacing w:after="40"/>
      </w:pPr>
      <w:r>
        <w:rPr>
          <w:rFonts w:ascii="Arial" w:hAnsi="Arial" w:eastAsia="Arial"/>
          <w:sz w:val="21"/>
        </w:rPr>
        <w:t>Collecter les pièces justificatives financières (factures).</w:t>
      </w:r>
    </w:p>
    <w:p>
      <w:pPr>
        <w:pStyle w:val="ListBullet"/>
        <w:spacing w:after="40"/>
      </w:pPr>
      <w:r>
        <w:rPr>
          <w:rFonts w:ascii="Arial" w:hAnsi="Arial" w:eastAsia="Arial"/>
          <w:sz w:val="21"/>
        </w:rPr>
        <w:t>Assister le personnel du Bureau pays dans les tâches financières générales, selon les besoins.</w:t>
      </w:r>
    </w:p>
    <w:p>
      <w:pPr>
        <w:spacing w:after="80"/>
      </w:pPr>
      <w:r>
        <w:rPr>
          <w:rFonts w:ascii="Arial" w:hAnsi="Arial" w:eastAsia="Arial"/>
          <w:b/>
          <w:i w:val="0"/>
          <w:sz w:val="22"/>
        </w:rPr>
        <w:t>Qualifications et expérience :</w:t>
      </w:r>
    </w:p>
    <w:p>
      <w:pPr>
        <w:spacing w:after="80"/>
      </w:pPr>
      <w:r>
        <w:rPr>
          <w:rFonts w:ascii="Arial" w:hAnsi="Arial" w:eastAsia="Arial"/>
          <w:b w:val="0"/>
          <w:i w:val="0"/>
          <w:sz w:val="21"/>
        </w:rPr>
        <w:t>Formation : Le diplôme de fin d’études secondaires est requis.</w:t>
      </w:r>
    </w:p>
    <w:p>
      <w:pPr>
        <w:spacing w:after="40"/>
      </w:pPr>
      <w:r>
        <w:rPr>
          <w:rFonts w:ascii="Arial" w:hAnsi="Arial" w:eastAsia="Arial"/>
          <w:b/>
          <w:i w:val="0"/>
          <w:sz w:val="21"/>
        </w:rPr>
        <w:t>Connaissances et expérience :</w:t>
      </w:r>
    </w:p>
    <w:p>
      <w:pPr>
        <w:pStyle w:val="ListBullet"/>
        <w:spacing w:after="40"/>
      </w:pPr>
      <w:r>
        <w:rPr>
          <w:rFonts w:ascii="Arial" w:hAnsi="Arial" w:eastAsia="Arial"/>
          <w:sz w:val="21"/>
        </w:rPr>
        <w:t>Au moins trois années d’expérience pertinente dans la conduite responsable.</w:t>
      </w:r>
    </w:p>
    <w:p>
      <w:pPr>
        <w:pStyle w:val="ListBullet"/>
        <w:spacing w:after="40"/>
      </w:pPr>
      <w:r>
        <w:rPr>
          <w:rFonts w:ascii="Arial" w:hAnsi="Arial" w:eastAsia="Arial"/>
          <w:sz w:val="21"/>
        </w:rPr>
        <w:t>Une expérience antérieure au sein d’organismes des Nations Unies constitue un atout.</w:t>
      </w:r>
    </w:p>
    <w:p>
      <w:pPr>
        <w:pStyle w:val="ListBullet"/>
        <w:spacing w:after="40"/>
      </w:pPr>
      <w:r>
        <w:rPr>
          <w:rFonts w:ascii="Arial" w:hAnsi="Arial" w:eastAsia="Arial"/>
          <w:sz w:val="21"/>
        </w:rPr>
        <w:t>Permis de conduire valide.</w:t>
      </w:r>
    </w:p>
    <w:p>
      <w:pPr>
        <w:pStyle w:val="ListBullet"/>
        <w:spacing w:after="40"/>
      </w:pPr>
      <w:r>
        <w:rPr>
          <w:rFonts w:ascii="Arial" w:hAnsi="Arial" w:eastAsia="Arial"/>
          <w:sz w:val="21"/>
        </w:rPr>
        <w:t>Connaissance des règles et règlements de conduite, du protocole et des courtoisies de chauffeur, des routes et conditions locales, ainsi que des techniques de conduite défensive.</w:t>
      </w:r>
    </w:p>
    <w:p>
      <w:pPr>
        <w:pStyle w:val="ListBullet"/>
        <w:spacing w:after="40"/>
      </w:pPr>
      <w:r>
        <w:rPr>
          <w:rFonts w:ascii="Arial" w:hAnsi="Arial" w:eastAsia="Arial"/>
          <w:sz w:val="21"/>
        </w:rPr>
        <w:t>Connaissance de base de l’administration ou de la logistique.</w:t>
      </w:r>
    </w:p>
    <w:p>
      <w:pPr>
        <w:pStyle w:val="ListBullet"/>
        <w:spacing w:after="40"/>
      </w:pPr>
      <w:r>
        <w:rPr>
          <w:rFonts w:ascii="Arial" w:hAnsi="Arial" w:eastAsia="Arial"/>
          <w:sz w:val="21"/>
        </w:rPr>
        <w:t>Maîtrise des outils informatiques, notamment Word et Excel.</w:t>
      </w:r>
    </w:p>
    <w:p>
      <w:pPr>
        <w:spacing w:after="160"/>
      </w:pPr>
      <w:r>
        <w:rPr>
          <w:rFonts w:ascii="Arial" w:hAnsi="Arial" w:eastAsia="Arial"/>
          <w:b w:val="0"/>
          <w:i w:val="0"/>
          <w:sz w:val="21"/>
        </w:rPr>
        <w:t>Langues : Maîtrise du français ; une connaissance pratique de l’anglais constitue un atout.</w:t>
      </w:r>
    </w:p>
    <w:p>
      <w:pPr>
        <w:spacing w:after="80"/>
      </w:pPr>
      <w:r>
        <w:rPr>
          <w:rFonts w:ascii="Arial" w:hAnsi="Arial" w:eastAsia="Arial"/>
          <w:b/>
          <w:i w:val="0"/>
          <w:sz w:val="22"/>
        </w:rPr>
        <w:t>Compétences requises :</w:t>
      </w:r>
    </w:p>
    <w:p>
      <w:pPr>
        <w:spacing w:after="40"/>
      </w:pPr>
      <w:r>
        <w:rPr>
          <w:rFonts w:ascii="Arial" w:hAnsi="Arial" w:eastAsia="Arial"/>
          <w:b/>
          <w:i w:val="0"/>
          <w:sz w:val="21"/>
        </w:rPr>
        <w:t>Valeurs :</w:t>
      </w:r>
    </w:p>
    <w:p>
      <w:pPr>
        <w:pStyle w:val="ListBullet"/>
        <w:spacing w:after="40"/>
      </w:pPr>
      <w:r>
        <w:rPr>
          <w:rFonts w:ascii="Arial" w:hAnsi="Arial" w:eastAsia="Arial"/>
          <w:sz w:val="21"/>
        </w:rPr>
        <w:t>Faire preuve d’intégrité</w:t>
      </w:r>
    </w:p>
    <w:p>
      <w:pPr>
        <w:pStyle w:val="ListBullet"/>
        <w:spacing w:after="40"/>
      </w:pPr>
      <w:r>
        <w:rPr>
          <w:rFonts w:ascii="Arial" w:hAnsi="Arial" w:eastAsia="Arial"/>
          <w:sz w:val="21"/>
        </w:rPr>
        <w:t>Démontrer son engagement envers l’UNFPA et le système des Nations Unies</w:t>
      </w:r>
    </w:p>
    <w:p>
      <w:pPr>
        <w:pStyle w:val="ListBullet"/>
        <w:spacing w:after="40"/>
      </w:pPr>
      <w:r>
        <w:rPr>
          <w:rFonts w:ascii="Arial" w:hAnsi="Arial" w:eastAsia="Arial"/>
          <w:sz w:val="21"/>
        </w:rPr>
        <w:t>Valoriser la diversité culturelle</w:t>
      </w:r>
    </w:p>
    <w:p>
      <w:pPr>
        <w:pStyle w:val="ListBullet"/>
        <w:spacing w:after="40"/>
      </w:pPr>
      <w:r>
        <w:rPr>
          <w:rFonts w:ascii="Arial" w:hAnsi="Arial" w:eastAsia="Arial"/>
          <w:sz w:val="21"/>
        </w:rPr>
        <w:t>Faire preuve d’ouverture au changement</w:t>
      </w:r>
    </w:p>
    <w:p>
      <w:pPr>
        <w:spacing w:after="40"/>
      </w:pPr>
      <w:r>
        <w:rPr>
          <w:rFonts w:ascii="Arial" w:hAnsi="Arial" w:eastAsia="Arial"/>
          <w:b/>
          <w:i w:val="0"/>
          <w:sz w:val="21"/>
        </w:rPr>
        <w:t>Compétences clés :</w:t>
      </w:r>
    </w:p>
    <w:p>
      <w:pPr>
        <w:pStyle w:val="ListBullet"/>
        <w:spacing w:after="40"/>
      </w:pPr>
      <w:r>
        <w:rPr>
          <w:rFonts w:ascii="Arial" w:hAnsi="Arial" w:eastAsia="Arial"/>
          <w:sz w:val="21"/>
        </w:rPr>
        <w:t>Obtenir des résultats,</w:t>
      </w:r>
    </w:p>
    <w:p>
      <w:pPr>
        <w:pStyle w:val="ListBullet"/>
        <w:spacing w:after="40"/>
      </w:pPr>
      <w:r>
        <w:rPr>
          <w:rFonts w:ascii="Arial" w:hAnsi="Arial" w:eastAsia="Arial"/>
          <w:sz w:val="21"/>
        </w:rPr>
        <w:t>Rendre compte de ses actes,</w:t>
      </w:r>
    </w:p>
    <w:p>
      <w:pPr>
        <w:pStyle w:val="ListBullet"/>
        <w:spacing w:after="40"/>
      </w:pPr>
      <w:r>
        <w:rPr>
          <w:rFonts w:ascii="Arial" w:hAnsi="Arial" w:eastAsia="Arial"/>
          <w:sz w:val="21"/>
        </w:rPr>
        <w:t>Travailler en équipe / se gérer soi-même et gérer ses relations,</w:t>
      </w:r>
    </w:p>
    <w:p>
      <w:pPr>
        <w:spacing w:after="80"/>
      </w:pPr>
      <w:r>
        <w:rPr>
          <w:rFonts w:ascii="Arial" w:hAnsi="Arial" w:eastAsia="Arial"/>
          <w:b/>
          <w:i w:val="0"/>
          <w:sz w:val="22"/>
        </w:rPr>
        <w:t>Rémunération et avantages :</w:t>
      </w:r>
    </w:p>
    <w:p>
      <w:pPr>
        <w:spacing w:after="160"/>
      </w:pPr>
      <w:r>
        <w:rPr>
          <w:rFonts w:ascii="Arial" w:hAnsi="Arial" w:eastAsia="Arial"/>
          <w:b w:val="0"/>
          <w:i w:val="0"/>
          <w:sz w:val="21"/>
        </w:rPr>
        <w:t>Ce poste offre un package de rémunération attractif, comprenant un salaire net compétitif, une assurance maladie et d’autres avantages applicables.</w:t>
      </w:r>
    </w:p>
    <w:p>
      <w:pPr>
        <w:spacing w:after="80"/>
      </w:pPr>
      <w:r>
        <w:rPr>
          <w:rFonts w:ascii="Arial" w:hAnsi="Arial" w:eastAsia="Arial"/>
          <w:b/>
          <w:i w:val="0"/>
          <w:sz w:val="22"/>
        </w:rPr>
        <w:t>Environnement de travail à l’UNFPA :</w:t>
      </w:r>
    </w:p>
    <w:p>
      <w:pPr>
        <w:spacing w:after="160"/>
      </w:pPr>
      <w:r>
        <w:rPr>
          <w:rFonts w:ascii="Arial" w:hAnsi="Arial" w:eastAsia="Arial"/>
          <w:b w:val="0"/>
          <w:i w:val="0"/>
          <w:sz w:val="21"/>
        </w:rPr>
        <w:t>L’UNFPA offre un environnement de travail qui reflète les valeurs d’égalité de genre, de diversité, d’intégrité et d’équilibre sain entre vie professionnelle et vie privée. Nous sommes engagés à assurer la parité entre les femmes et les hommes au sein de l’organisation et encourageons donc les femmes à postuler. Les personnes issues de groupes ethniques minoritaires, de populations autochtones, les personnes en situation de handicap ainsi que d’autres groupes sous-représentés sont vivement encouragés à présenter leur candidature. L’UNFPA promeut l’égalité des chances en matière de recrutement, de formation, de rémunération et de sélection, sans considération des caractéristiques personnelles ni des différentes dimensions de la diversité. La diversité, l’équité et l’inclusion sont au cœur des effectifs de l’UNFPA.</w:t>
      </w:r>
    </w:p>
    <w:p>
      <w:pPr>
        <w:spacing w:after="80"/>
      </w:pPr>
      <w:r>
        <w:rPr>
          <w:rFonts w:ascii="Arial" w:hAnsi="Arial" w:eastAsia="Arial"/>
          <w:b/>
          <w:i w:val="0"/>
          <w:sz w:val="22"/>
        </w:rPr>
        <w:t>Avertissement :</w:t>
      </w:r>
    </w:p>
    <w:p>
      <w:pPr>
        <w:spacing w:after="80"/>
      </w:pPr>
      <w:r>
        <w:rPr>
          <w:rFonts w:ascii="Arial" w:hAnsi="Arial" w:eastAsia="Arial"/>
          <w:b w:val="0"/>
          <w:i w:val="0"/>
          <w:sz w:val="21"/>
        </w:rPr>
        <w:t>La sélection et la nomination peuvent être subordonnées à des vérifications d’antécédents et de références, à une aptitude médicale, à la délivrance d’un visa ainsi qu’à d’autres exigences administratives.</w:t>
      </w:r>
    </w:p>
    <w:p>
      <w:pPr>
        <w:spacing w:after="80"/>
      </w:pPr>
      <w:r>
        <w:rPr>
          <w:rFonts w:ascii="Arial" w:hAnsi="Arial" w:eastAsia="Arial"/>
          <w:b w:val="0"/>
          <w:i w:val="0"/>
          <w:sz w:val="21"/>
        </w:rPr>
        <w:t>L’UNFPA ne perçoit aucun frais de candidature, de traitement, de formation, d’entretien, de test ou tout autre frais lié au processus de candidature ou de recrutement, et ne demande aucune information concernant les comptes bancaires des candidat(e)s.</w:t>
      </w:r>
    </w:p>
    <w:p>
      <w:pPr>
        <w:spacing w:after="80"/>
      </w:pPr>
      <w:r>
        <w:rPr>
          <w:rFonts w:ascii="Arial" w:hAnsi="Arial" w:eastAsia="Arial"/>
          <w:b w:val="0"/>
          <w:i w:val="0"/>
          <w:sz w:val="21"/>
        </w:rPr>
        <w:t>Les candidat(e)s aux postes relevant de la catégorie professionnelle internationale et des catégories supérieures, titulaires du statut de résident permanent dans un pays autre que leur pays de nationalité, pourront être tenus de renoncer à ce statut au moment de leur nomination.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